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bCs/>
          <w:color w:val="333333"/>
          <w:sz w:val="32"/>
          <w:szCs w:val="32"/>
          <w:lang w:val="en"/>
        </w:rPr>
        <w:t>附件</w:t>
      </w:r>
      <w:r>
        <w:rPr>
          <w:rFonts w:ascii="仿宋_GB2312" w:hAnsi="微软雅黑" w:eastAsia="仿宋_GB2312"/>
          <w:bCs/>
          <w:color w:val="333333"/>
          <w:sz w:val="32"/>
          <w:szCs w:val="32"/>
          <w:lang w:val="en"/>
        </w:rPr>
        <w:t>2</w:t>
      </w:r>
      <w:r>
        <w:rPr>
          <w:rFonts w:hint="eastAsia" w:ascii="仿宋_GB2312" w:hAnsi="微软雅黑" w:eastAsia="仿宋_GB2312"/>
          <w:bCs/>
          <w:color w:val="333333"/>
          <w:sz w:val="32"/>
          <w:szCs w:val="32"/>
          <w:lang w:val="en"/>
        </w:rPr>
        <w:t>《常州产权交易所有限公司服务收费标准》（</w:t>
      </w:r>
      <w:r>
        <w:rPr>
          <w:rFonts w:ascii="仿宋_GB2312" w:hAnsi="微软雅黑" w:eastAsia="仿宋_GB2312"/>
          <w:bCs/>
          <w:color w:val="333333"/>
          <w:sz w:val="32"/>
          <w:szCs w:val="32"/>
          <w:lang w:val="en"/>
        </w:rPr>
        <w:t>202</w:t>
      </w:r>
      <w:r>
        <w:rPr>
          <w:rFonts w:hint="eastAsia" w:ascii="仿宋_GB2312" w:hAnsi="微软雅黑" w:eastAsia="仿宋_GB2312"/>
          <w:bCs/>
          <w:color w:val="333333"/>
          <w:sz w:val="32"/>
          <w:szCs w:val="32"/>
          <w:lang w:val="en-US" w:eastAsia="zh-CN"/>
        </w:rPr>
        <w:t>1</w:t>
      </w:r>
      <w:r>
        <w:rPr>
          <w:rFonts w:ascii="仿宋_GB2312" w:hAnsi="微软雅黑" w:eastAsia="仿宋_GB2312"/>
          <w:bCs/>
          <w:color w:val="333333"/>
          <w:sz w:val="32"/>
          <w:szCs w:val="32"/>
          <w:lang w:val="en"/>
        </w:rPr>
        <w:t>年</w:t>
      </w:r>
      <w:r>
        <w:rPr>
          <w:rFonts w:hint="eastAsia" w:ascii="仿宋_GB2312" w:hAnsi="微软雅黑" w:eastAsia="仿宋_GB2312"/>
          <w:bCs/>
          <w:color w:val="333333"/>
          <w:sz w:val="32"/>
          <w:szCs w:val="32"/>
          <w:lang w:val="en-US" w:eastAsia="zh-CN"/>
        </w:rPr>
        <w:t>9</w:t>
      </w:r>
      <w:r>
        <w:rPr>
          <w:rFonts w:ascii="仿宋_GB2312" w:hAnsi="微软雅黑" w:eastAsia="仿宋_GB2312"/>
          <w:bCs/>
          <w:color w:val="333333"/>
          <w:sz w:val="32"/>
          <w:szCs w:val="32"/>
          <w:lang w:val="en"/>
        </w:rPr>
        <w:t>月</w:t>
      </w:r>
      <w:r>
        <w:rPr>
          <w:rFonts w:hint="eastAsia" w:ascii="仿宋_GB2312" w:hAnsi="微软雅黑" w:eastAsia="仿宋_GB2312"/>
          <w:bCs/>
          <w:color w:val="333333"/>
          <w:sz w:val="32"/>
          <w:szCs w:val="32"/>
          <w:lang w:val="en-US" w:eastAsia="zh-CN"/>
        </w:rPr>
        <w:t>17</w:t>
      </w:r>
      <w:r>
        <w:rPr>
          <w:rFonts w:ascii="仿宋_GB2312" w:hAnsi="微软雅黑" w:eastAsia="仿宋_GB2312"/>
          <w:bCs/>
          <w:color w:val="333333"/>
          <w:sz w:val="32"/>
          <w:szCs w:val="32"/>
          <w:lang w:val="en"/>
        </w:rPr>
        <w:t>日发布版本）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常州产权交易所有限公司服务收费标准</w:t>
      </w:r>
    </w:p>
    <w:tbl>
      <w:tblPr>
        <w:tblStyle w:val="4"/>
        <w:tblW w:w="1408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580"/>
        <w:gridCol w:w="860"/>
        <w:gridCol w:w="1720"/>
        <w:gridCol w:w="2223"/>
        <w:gridCol w:w="357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业务类别</w:t>
            </w:r>
          </w:p>
        </w:tc>
        <w:tc>
          <w:tcPr>
            <w:tcW w:w="11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2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产权交易</w:t>
            </w:r>
          </w:p>
        </w:tc>
        <w:tc>
          <w:tcPr>
            <w:tcW w:w="11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依据《省物价局关于降低全省国有产权交易服务收费标准的通知》（苏价费〔2017〕231号）国有产权交易服务收费标准：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成交金额（万元）分档</w:t>
            </w:r>
          </w:p>
        </w:tc>
        <w:tc>
          <w:tcPr>
            <w:tcW w:w="25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按协议方式交易（每笔）</w:t>
            </w:r>
          </w:p>
        </w:tc>
        <w:tc>
          <w:tcPr>
            <w:tcW w:w="6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按竞价方式交易（在协议方式收费基础上加收）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底价部分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溢价部分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100以下（含100）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3000元</w:t>
            </w:r>
          </w:p>
        </w:tc>
        <w:tc>
          <w:tcPr>
            <w:tcW w:w="25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0.8%</w:t>
            </w:r>
          </w:p>
        </w:tc>
        <w:tc>
          <w:tcPr>
            <w:tcW w:w="39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101-500（含500）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2‰</w:t>
            </w:r>
          </w:p>
        </w:tc>
        <w:tc>
          <w:tcPr>
            <w:tcW w:w="25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501-2000（含2000）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1.6‰</w:t>
            </w:r>
          </w:p>
        </w:tc>
        <w:tc>
          <w:tcPr>
            <w:tcW w:w="25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2001-5000（含5000）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1.2‰</w:t>
            </w:r>
          </w:p>
        </w:tc>
        <w:tc>
          <w:tcPr>
            <w:tcW w:w="25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5001-10000（含10000）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0.8‰</w:t>
            </w:r>
          </w:p>
        </w:tc>
        <w:tc>
          <w:tcPr>
            <w:tcW w:w="25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10001-50000（含50000）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0.6‰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0.6%</w:t>
            </w:r>
          </w:p>
        </w:tc>
        <w:tc>
          <w:tcPr>
            <w:tcW w:w="3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50001及以上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0.4‰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0.4%</w:t>
            </w:r>
          </w:p>
        </w:tc>
        <w:tc>
          <w:tcPr>
            <w:tcW w:w="3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以上收费方式为按计费金额（成交金额）分档累进计费，国有产权交易服务费分别向交易双方同比率收取。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技术产权交易</w:t>
            </w:r>
          </w:p>
        </w:tc>
        <w:tc>
          <w:tcPr>
            <w:tcW w:w="11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一、通过本平台促成交易的项目，包括纯技术转让、专利交易，各收取双方就该项目成交额的5%-10%作为服务费。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二、代办专利合同备案，每笔收取服务费500元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股权托管</w:t>
            </w:r>
          </w:p>
        </w:tc>
        <w:tc>
          <w:tcPr>
            <w:tcW w:w="11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一、登记托管费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登记托管费包括初始托管服务费和托管服务年费，以托管股本总额为基数，采用分档递减累加法计算，向托管方一次性收取，具体标准如下表：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表（一） 登记托管收费标准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托管股本（资本）总额（万元）</w:t>
            </w:r>
          </w:p>
        </w:tc>
        <w:tc>
          <w:tcPr>
            <w:tcW w:w="39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初始托管服务费（‰）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年托管服务费（‰）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5000以下</w:t>
            </w:r>
          </w:p>
        </w:tc>
        <w:tc>
          <w:tcPr>
            <w:tcW w:w="39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5000以上10000以下</w:t>
            </w:r>
          </w:p>
        </w:tc>
        <w:tc>
          <w:tcPr>
            <w:tcW w:w="39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10000以上30000以下</w:t>
            </w:r>
          </w:p>
        </w:tc>
        <w:tc>
          <w:tcPr>
            <w:tcW w:w="39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43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30000以上</w:t>
            </w:r>
          </w:p>
        </w:tc>
        <w:tc>
          <w:tcPr>
            <w:tcW w:w="39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43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二、变更登记费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1.通过公开挂牌的股权过户登记，收费标准参照《常州产权交易所产（股）权交易收费办法》执行。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2.对协议转让的股权过户登记，以过户股权面值为基数累计递减计费，分别向出让方、受让方收取。具体收费标准（为单笔单向计费比率）如下表：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表（二） 协议转让股权过户登记收费标准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过户股权数量（万股）</w:t>
            </w:r>
          </w:p>
        </w:tc>
        <w:tc>
          <w:tcPr>
            <w:tcW w:w="6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差额计费率（‰）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100以下</w:t>
            </w:r>
          </w:p>
        </w:tc>
        <w:tc>
          <w:tcPr>
            <w:tcW w:w="6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100以上500以下</w:t>
            </w:r>
          </w:p>
        </w:tc>
        <w:tc>
          <w:tcPr>
            <w:tcW w:w="6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500以上1000以下</w:t>
            </w:r>
          </w:p>
        </w:tc>
        <w:tc>
          <w:tcPr>
            <w:tcW w:w="6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1000以上5000以下</w:t>
            </w:r>
          </w:p>
        </w:tc>
        <w:tc>
          <w:tcPr>
            <w:tcW w:w="6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5000以上</w:t>
            </w:r>
          </w:p>
        </w:tc>
        <w:tc>
          <w:tcPr>
            <w:tcW w:w="6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3.继承、司法判决非交易过户费按100元/笔单方收取，赠予、离婚分割等非交易过户费按100元/笔向双方收取。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三、质押登记费：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1.质押登记收费标准（按次）。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4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943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交易区间（万股）</w:t>
            </w:r>
          </w:p>
        </w:tc>
        <w:tc>
          <w:tcPr>
            <w:tcW w:w="430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44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43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0—500（含）</w:t>
            </w:r>
          </w:p>
        </w:tc>
        <w:tc>
          <w:tcPr>
            <w:tcW w:w="430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4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43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500--2000（含）</w:t>
            </w:r>
          </w:p>
        </w:tc>
        <w:tc>
          <w:tcPr>
            <w:tcW w:w="430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4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943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2000--5000（含）</w:t>
            </w:r>
          </w:p>
        </w:tc>
        <w:tc>
          <w:tcPr>
            <w:tcW w:w="430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44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943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5000以上</w:t>
            </w:r>
          </w:p>
        </w:tc>
        <w:tc>
          <w:tcPr>
            <w:tcW w:w="430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40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2.根据质押合同确认的质押期限，质押期限不满6个月（包含6个月），按本标准减半收取。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3.出质企业在解除前次股权质押登记手续后，三个月内在相同质押条件下（质押股数、质押期限等）再次质押的，按第一次质押登记费的50%收取。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四、其他收费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firstLine="4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1.股东资料变更登记费：法人股东100元/户，个人股东10元/户；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firstLine="4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2.股权证挂失与补办费：挂失不收费。重新补发“股权证”，收取工本费：法人股东100元/户，个人股东10元/户；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firstLine="4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3.股权证明服务费每份50元；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firstLine="4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4.简单查询不收费，若涉及打印，收工本费：法人股东100元/户，个人股东10元/户；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firstLine="4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5.托管中心为公司提供分红派息、财务咨询等服务的收费，按双方协商的结果收取；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firstLine="440" w:firstLineChars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五、上述成交金额中的“以下”包含本数在内，“以上”不包含本数。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2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拍 卖</w:t>
            </w:r>
          </w:p>
        </w:tc>
        <w:tc>
          <w:tcPr>
            <w:tcW w:w="11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 w:firstLine="4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一、司法拍卖标的，以成交金额为基数，采用成交额差额累进费率，向买受人收取。具体标准如下：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成交金额（万元）</w:t>
            </w:r>
          </w:p>
        </w:tc>
        <w:tc>
          <w:tcPr>
            <w:tcW w:w="6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差额计费率（%）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200以下</w:t>
            </w:r>
          </w:p>
        </w:tc>
        <w:tc>
          <w:tcPr>
            <w:tcW w:w="6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200以上1000以下</w:t>
            </w:r>
          </w:p>
        </w:tc>
        <w:tc>
          <w:tcPr>
            <w:tcW w:w="6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10000以上5000以下</w:t>
            </w:r>
          </w:p>
        </w:tc>
        <w:tc>
          <w:tcPr>
            <w:tcW w:w="6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5000以上10000以下</w:t>
            </w:r>
          </w:p>
        </w:tc>
        <w:tc>
          <w:tcPr>
            <w:tcW w:w="6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10000以上</w:t>
            </w:r>
          </w:p>
        </w:tc>
        <w:tc>
          <w:tcPr>
            <w:tcW w:w="6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firstLine="440" w:firstLineChars="2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上述成交金额中的“以下”包含本数在内，“以上”不包含本数。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firstLine="4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二、社会委托标的，以成交金额为基数，向交易双方收取不高于5%的拍卖佣金。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投诉电话</w:t>
            </w:r>
          </w:p>
        </w:tc>
        <w:tc>
          <w:tcPr>
            <w:tcW w:w="11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0519-86620328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2ViNTJmNmJjNDQxNGM2NTVjMzQxNDRlY2RiZGMifQ=="/>
  </w:docVars>
  <w:rsids>
    <w:rsidRoot w:val="00000000"/>
    <w:rsid w:val="2A15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2024-03-29T05:31:40Z</dcterms:created>
  <dc:creator>Lenovo</dc:creator>
  <cp:lastModifiedBy>李艳</cp:lastModifiedBy>
  <dcterms:modified xsi:type="dcterms:W3CDTF">2024-03-29T05:31:44Z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D8E90AF4B4FB42319D9F4C9616506CE2_12</vt:lpwstr>
  </property>
</Properties>
</file>