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审计业务合作方</w:t>
      </w:r>
      <w:bookmarkEnd w:id="0"/>
      <w:r>
        <w:rPr>
          <w:rFonts w:hint="eastAsia" w:ascii="方正小标宋简体" w:eastAsia="方正小标宋简体"/>
          <w:bCs/>
          <w:sz w:val="44"/>
          <w:szCs w:val="44"/>
        </w:rPr>
        <w:t>考核管理办法</w:t>
      </w:r>
    </w:p>
    <w:p>
      <w:pPr>
        <w:jc w:val="center"/>
        <w:rPr>
          <w:b/>
          <w:bCs/>
          <w:sz w:val="44"/>
          <w:szCs w:val="44"/>
        </w:rPr>
      </w:pPr>
    </w:p>
    <w:p>
      <w:pPr>
        <w:spacing w:line="560" w:lineRule="exact"/>
        <w:ind w:firstLine="548" w:firstLineChars="196"/>
        <w:rPr>
          <w:rFonts w:ascii="黑体" w:eastAsia="黑体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一、总则</w:t>
      </w: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常州阳光交易市场是常州产权交易所有限公司（以下简称“产交所”）根据相关文件要求建设运营的常州市国资阳光交易服务平台，为加强常州阳光交易市场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28"/>
          <w:szCs w:val="28"/>
        </w:rPr>
        <w:t>合作方的管理，建立健全考核机制，充分调动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的工作积极性，提高工作效能，结合产交所实际情况，制定本办法。</w:t>
      </w:r>
    </w:p>
    <w:p>
      <w:pPr>
        <w:spacing w:line="560" w:lineRule="exact"/>
        <w:ind w:firstLine="548" w:firstLineChars="196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二、考核机构和职责</w:t>
      </w:r>
    </w:p>
    <w:p>
      <w:pPr>
        <w:spacing w:line="560" w:lineRule="exact"/>
        <w:ind w:firstLine="56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产交所负责对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及其团队的服务质量、执业情况、职业道德等方面进行评价和考核，评价和考核结果作为是否继续作为常州阳光交易市场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28"/>
          <w:szCs w:val="28"/>
        </w:rPr>
        <w:t>合作方的依据。</w:t>
      </w:r>
    </w:p>
    <w:p>
      <w:pPr>
        <w:numPr>
          <w:ilvl w:val="0"/>
          <w:numId w:val="1"/>
        </w:numPr>
        <w:spacing w:line="560" w:lineRule="exact"/>
        <w:ind w:firstLine="560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考核内容及评分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（一）由委托方或产交所按每次项目结束后对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进行考核，考核总分为</w:t>
      </w:r>
      <w:r>
        <w:rPr>
          <w:rFonts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分。具体考核指标见附表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（二）产交所对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进行年度考核，考核总分为100分，每年12月31日为考核基准日。具体考核指标见附表2 </w:t>
      </w:r>
    </w:p>
    <w:p>
      <w:pPr>
        <w:spacing w:line="560" w:lineRule="exact"/>
        <w:ind w:firstLine="548" w:firstLineChars="196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四、存在以下情形之一的,将予以解除合作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（一）年度考核评定为“不合格”（注：考核评分不足80分为不合格）；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（二）考核期内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受到没收违法所得、责令停业、吊销执照等行政处罚的；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出具虚假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28"/>
          <w:szCs w:val="28"/>
        </w:rPr>
        <w:t>报告或者有重大遗漏的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28"/>
          <w:szCs w:val="28"/>
        </w:rPr>
        <w:t>报告造成委托方损失的；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的行为，产交所被投诉、举报或造成其他不良影响的；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工作人员有贪污、行贿、受贿等违反廉政纪律行为的，利用职务之便为自己或者他人谋取私利的。</w:t>
      </w:r>
    </w:p>
    <w:p>
      <w:pPr>
        <w:spacing w:line="560" w:lineRule="exact"/>
        <w:ind w:firstLine="560" w:firstLineChars="200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四、说明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（一）本管理办法于产交所与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签订合作协议后开始执行。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（二）合作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会计师事务所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及服务团队需遵守《合作协议》、《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业务合作方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考核管理办法》、征集公告等相关约定。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（三）本管理办法仅限产交所内部使用，未规定部分遵从产交所相关规定及现有制度执行。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（四）本管理办法于颁布之日起生效。</w:t>
      </w: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附表：1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项目考核表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2.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年度考核表</w:t>
      </w: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常州产权交易所有限公司</w:t>
      </w:r>
    </w:p>
    <w:p>
      <w:pPr>
        <w:spacing w:line="56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jc w:val="left"/>
        <w:rPr>
          <w:rFonts w:ascii="黑体" w:hAnsi="仿宋_GB2312" w:eastAsia="黑体" w:cs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仿宋_GB2312" w:eastAsia="黑体" w:cs="仿宋_GB2312"/>
          <w:b/>
          <w:bCs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>1</w:t>
      </w:r>
    </w:p>
    <w:tbl>
      <w:tblPr>
        <w:tblStyle w:val="7"/>
        <w:tblW w:w="10031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31"/>
        <w:gridCol w:w="492"/>
        <w:gridCol w:w="1202"/>
        <w:gridCol w:w="2337"/>
        <w:gridCol w:w="709"/>
        <w:gridCol w:w="155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会计师事务所名称：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 标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考核办法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考核结果说明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人员匹配持证上岗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未持证上岗扣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报告错误导致委托方承担民事责任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出现上述情况扣10分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受托项目受到行政处罚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警告扣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分；罚款扣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职业道德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会计师事务所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人员应有相应的职业道德，若出现违反诚信、尽责、公正等情况，扣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保密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会计师事务所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人员应对项目及采购单位信息保密，若出现泄密等情况，扣1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报告的准确性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出现实质性错误扣5 分，出现实质性严重错误扣10分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报告的完整性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报告不完整扣1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工作效率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根据每次询价公告确定相应时间，逾期响应或提交工作资料扣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沟通能力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未能与委托方积极配合且进行有效沟通扣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服务态度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服务态度差扣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考核人：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考核日期：      年   月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仿宋_GB2312" w:eastAsia="黑体" w:cs="仿宋_GB2312"/>
          <w:b/>
          <w:bCs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表2</w:t>
      </w:r>
    </w:p>
    <w:tbl>
      <w:tblPr>
        <w:tblStyle w:val="7"/>
        <w:tblW w:w="993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51"/>
        <w:gridCol w:w="1067"/>
        <w:gridCol w:w="1230"/>
        <w:gridCol w:w="464"/>
        <w:gridCol w:w="2371"/>
        <w:gridCol w:w="687"/>
        <w:gridCol w:w="155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考核期间：    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会计师事务所名称：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 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考核办法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考核结果说明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因执业过错被司法部门判定承担民事责任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每次扣5分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机构受到行政处罚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警告、罚款一次扣5分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机构的执业人员受到行政处罚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警告、罚款一次扣5分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不积极参与询价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每次扣1分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  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项目平均分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年度内未承接常州阳光交易市场项目的单位此项统一记为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  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考核人：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32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考核日期：</w:t>
            </w:r>
          </w:p>
        </w:tc>
      </w:tr>
    </w:tbl>
    <w:p>
      <w:pPr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注：考核评分不足80分为不合格。</w:t>
      </w:r>
    </w:p>
    <w:p>
      <w:pPr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3816E"/>
    <w:multiLevelType w:val="singleLevel"/>
    <w:tmpl w:val="5FE381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YzJkMWU0ZDY4YTQ4MGY3NTRjYWU3NGI5MWE4MTQifQ=="/>
    <w:docVar w:name="KGWebUrl" w:val="http://oa.eccjt.com:88/weaver/weaver.file.FileDownloadForNews?uuid=63c1c0ad-4993-4820-b22b-edf09e6b5b53&amp;fileid=370401&amp;type=document&amp;isofficeview=0"/>
  </w:docVars>
  <w:rsids>
    <w:rsidRoot w:val="27C2283C"/>
    <w:rsid w:val="00013B23"/>
    <w:rsid w:val="00016A44"/>
    <w:rsid w:val="00017A7B"/>
    <w:rsid w:val="00023AF9"/>
    <w:rsid w:val="000265FA"/>
    <w:rsid w:val="000278DF"/>
    <w:rsid w:val="00035120"/>
    <w:rsid w:val="00050566"/>
    <w:rsid w:val="000525A4"/>
    <w:rsid w:val="00060897"/>
    <w:rsid w:val="00063923"/>
    <w:rsid w:val="00074EAB"/>
    <w:rsid w:val="00091F94"/>
    <w:rsid w:val="000B5ED2"/>
    <w:rsid w:val="000D4D2A"/>
    <w:rsid w:val="000D701E"/>
    <w:rsid w:val="000F6B62"/>
    <w:rsid w:val="0013031C"/>
    <w:rsid w:val="00132A1A"/>
    <w:rsid w:val="00146B96"/>
    <w:rsid w:val="00151518"/>
    <w:rsid w:val="00153CEB"/>
    <w:rsid w:val="001648D3"/>
    <w:rsid w:val="001740DD"/>
    <w:rsid w:val="001900BA"/>
    <w:rsid w:val="0019202C"/>
    <w:rsid w:val="001B0656"/>
    <w:rsid w:val="001B2A5F"/>
    <w:rsid w:val="001B6FD3"/>
    <w:rsid w:val="001E385F"/>
    <w:rsid w:val="001E5336"/>
    <w:rsid w:val="001F038C"/>
    <w:rsid w:val="001F07FB"/>
    <w:rsid w:val="00226DE1"/>
    <w:rsid w:val="00237644"/>
    <w:rsid w:val="0024322B"/>
    <w:rsid w:val="00246CC1"/>
    <w:rsid w:val="00294555"/>
    <w:rsid w:val="002A3E72"/>
    <w:rsid w:val="002B2AA1"/>
    <w:rsid w:val="002B6803"/>
    <w:rsid w:val="002D50CF"/>
    <w:rsid w:val="002E28CF"/>
    <w:rsid w:val="002E6E48"/>
    <w:rsid w:val="0030697A"/>
    <w:rsid w:val="003155E1"/>
    <w:rsid w:val="0033091C"/>
    <w:rsid w:val="003371FA"/>
    <w:rsid w:val="00342CD2"/>
    <w:rsid w:val="00350812"/>
    <w:rsid w:val="00363D12"/>
    <w:rsid w:val="003658F6"/>
    <w:rsid w:val="00392595"/>
    <w:rsid w:val="00394586"/>
    <w:rsid w:val="003C2130"/>
    <w:rsid w:val="003C5607"/>
    <w:rsid w:val="003D5BD3"/>
    <w:rsid w:val="003E058E"/>
    <w:rsid w:val="004208FD"/>
    <w:rsid w:val="0043274A"/>
    <w:rsid w:val="00444BA6"/>
    <w:rsid w:val="00447EA7"/>
    <w:rsid w:val="00451149"/>
    <w:rsid w:val="00452641"/>
    <w:rsid w:val="00453A81"/>
    <w:rsid w:val="004567F8"/>
    <w:rsid w:val="004748A0"/>
    <w:rsid w:val="00486FC7"/>
    <w:rsid w:val="004C1A44"/>
    <w:rsid w:val="004C2AE4"/>
    <w:rsid w:val="004C4945"/>
    <w:rsid w:val="004D28C7"/>
    <w:rsid w:val="004F34A6"/>
    <w:rsid w:val="00500120"/>
    <w:rsid w:val="00510CF9"/>
    <w:rsid w:val="00521D4F"/>
    <w:rsid w:val="00526287"/>
    <w:rsid w:val="00527B8E"/>
    <w:rsid w:val="00531483"/>
    <w:rsid w:val="00533FC9"/>
    <w:rsid w:val="0054106E"/>
    <w:rsid w:val="0055403A"/>
    <w:rsid w:val="00557074"/>
    <w:rsid w:val="00557A0D"/>
    <w:rsid w:val="0056763B"/>
    <w:rsid w:val="00591A43"/>
    <w:rsid w:val="00595081"/>
    <w:rsid w:val="005A5CBC"/>
    <w:rsid w:val="005C263B"/>
    <w:rsid w:val="005D45E7"/>
    <w:rsid w:val="00644CEC"/>
    <w:rsid w:val="006A1464"/>
    <w:rsid w:val="006B3988"/>
    <w:rsid w:val="006D4DBF"/>
    <w:rsid w:val="006E1A3C"/>
    <w:rsid w:val="006F4A0A"/>
    <w:rsid w:val="00703E91"/>
    <w:rsid w:val="0072577C"/>
    <w:rsid w:val="00736391"/>
    <w:rsid w:val="00741695"/>
    <w:rsid w:val="0076161C"/>
    <w:rsid w:val="007703FE"/>
    <w:rsid w:val="00777DC9"/>
    <w:rsid w:val="0078792F"/>
    <w:rsid w:val="007A494B"/>
    <w:rsid w:val="007A71D7"/>
    <w:rsid w:val="007C1148"/>
    <w:rsid w:val="007D4373"/>
    <w:rsid w:val="00822678"/>
    <w:rsid w:val="00851530"/>
    <w:rsid w:val="008906E0"/>
    <w:rsid w:val="00891FB2"/>
    <w:rsid w:val="008D1AC9"/>
    <w:rsid w:val="008D601C"/>
    <w:rsid w:val="008E1EAA"/>
    <w:rsid w:val="008E605D"/>
    <w:rsid w:val="0091750C"/>
    <w:rsid w:val="00923E08"/>
    <w:rsid w:val="009247CD"/>
    <w:rsid w:val="00927245"/>
    <w:rsid w:val="00934801"/>
    <w:rsid w:val="00937BAC"/>
    <w:rsid w:val="00940359"/>
    <w:rsid w:val="00943578"/>
    <w:rsid w:val="009518EC"/>
    <w:rsid w:val="009704E3"/>
    <w:rsid w:val="00986CCD"/>
    <w:rsid w:val="00992711"/>
    <w:rsid w:val="00994A00"/>
    <w:rsid w:val="009953C0"/>
    <w:rsid w:val="009B354F"/>
    <w:rsid w:val="009E02E2"/>
    <w:rsid w:val="009E3A2B"/>
    <w:rsid w:val="009F20BF"/>
    <w:rsid w:val="00A16FF3"/>
    <w:rsid w:val="00A30279"/>
    <w:rsid w:val="00A30C2D"/>
    <w:rsid w:val="00A408D1"/>
    <w:rsid w:val="00A73FBA"/>
    <w:rsid w:val="00A816F3"/>
    <w:rsid w:val="00A82CE0"/>
    <w:rsid w:val="00A91640"/>
    <w:rsid w:val="00A9617C"/>
    <w:rsid w:val="00AB437F"/>
    <w:rsid w:val="00AB62CF"/>
    <w:rsid w:val="00AC607A"/>
    <w:rsid w:val="00B10834"/>
    <w:rsid w:val="00B21A04"/>
    <w:rsid w:val="00B71C84"/>
    <w:rsid w:val="00B74BF9"/>
    <w:rsid w:val="00B76A3A"/>
    <w:rsid w:val="00BA2657"/>
    <w:rsid w:val="00BB4277"/>
    <w:rsid w:val="00BB5448"/>
    <w:rsid w:val="00BE0CF4"/>
    <w:rsid w:val="00BE4997"/>
    <w:rsid w:val="00C00EE2"/>
    <w:rsid w:val="00C15B12"/>
    <w:rsid w:val="00C85500"/>
    <w:rsid w:val="00C918EB"/>
    <w:rsid w:val="00CA1C61"/>
    <w:rsid w:val="00CA4531"/>
    <w:rsid w:val="00CB1648"/>
    <w:rsid w:val="00CD2301"/>
    <w:rsid w:val="00CE01D4"/>
    <w:rsid w:val="00D07996"/>
    <w:rsid w:val="00D2797B"/>
    <w:rsid w:val="00D4051A"/>
    <w:rsid w:val="00D64F2B"/>
    <w:rsid w:val="00D85FFF"/>
    <w:rsid w:val="00D91A0C"/>
    <w:rsid w:val="00D92196"/>
    <w:rsid w:val="00D95281"/>
    <w:rsid w:val="00DC2DA4"/>
    <w:rsid w:val="00DC51A1"/>
    <w:rsid w:val="00DF4493"/>
    <w:rsid w:val="00DF660B"/>
    <w:rsid w:val="00E01899"/>
    <w:rsid w:val="00E0678E"/>
    <w:rsid w:val="00E07AAB"/>
    <w:rsid w:val="00E111AD"/>
    <w:rsid w:val="00E26556"/>
    <w:rsid w:val="00E3530E"/>
    <w:rsid w:val="00E36959"/>
    <w:rsid w:val="00E37B77"/>
    <w:rsid w:val="00E50523"/>
    <w:rsid w:val="00E51846"/>
    <w:rsid w:val="00E5282E"/>
    <w:rsid w:val="00E559A0"/>
    <w:rsid w:val="00E62396"/>
    <w:rsid w:val="00E64BD5"/>
    <w:rsid w:val="00E71E4E"/>
    <w:rsid w:val="00E81466"/>
    <w:rsid w:val="00E95AFA"/>
    <w:rsid w:val="00E971A4"/>
    <w:rsid w:val="00EB21A1"/>
    <w:rsid w:val="00EB6505"/>
    <w:rsid w:val="00EC273A"/>
    <w:rsid w:val="00ED2886"/>
    <w:rsid w:val="00ED37C9"/>
    <w:rsid w:val="00EE6809"/>
    <w:rsid w:val="00F15D53"/>
    <w:rsid w:val="00F2073E"/>
    <w:rsid w:val="00F3192B"/>
    <w:rsid w:val="00F576FA"/>
    <w:rsid w:val="00F740B5"/>
    <w:rsid w:val="00F757F2"/>
    <w:rsid w:val="00F851F5"/>
    <w:rsid w:val="00F956FE"/>
    <w:rsid w:val="00F97BD5"/>
    <w:rsid w:val="00FB1CA2"/>
    <w:rsid w:val="00FB7A2B"/>
    <w:rsid w:val="00FC3232"/>
    <w:rsid w:val="00FD7CB1"/>
    <w:rsid w:val="00FF552B"/>
    <w:rsid w:val="0B963F94"/>
    <w:rsid w:val="191A19D9"/>
    <w:rsid w:val="1C13267E"/>
    <w:rsid w:val="1C314832"/>
    <w:rsid w:val="22387C3D"/>
    <w:rsid w:val="237C4B6D"/>
    <w:rsid w:val="257F12BC"/>
    <w:rsid w:val="26626AF6"/>
    <w:rsid w:val="26C13F68"/>
    <w:rsid w:val="27C2283C"/>
    <w:rsid w:val="2DB81CB7"/>
    <w:rsid w:val="2EF369A2"/>
    <w:rsid w:val="33690DE4"/>
    <w:rsid w:val="3C51161D"/>
    <w:rsid w:val="3DC76E57"/>
    <w:rsid w:val="3F116320"/>
    <w:rsid w:val="44026CFF"/>
    <w:rsid w:val="450D7977"/>
    <w:rsid w:val="534C5F9D"/>
    <w:rsid w:val="57387C5F"/>
    <w:rsid w:val="57D613CF"/>
    <w:rsid w:val="5D817478"/>
    <w:rsid w:val="64472432"/>
    <w:rsid w:val="742A2D70"/>
    <w:rsid w:val="77C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4</Pages>
  <Words>1346</Words>
  <Characters>1385</Characters>
  <Lines>2</Lines>
  <Paragraphs>3</Paragraphs>
  <TotalTime>2</TotalTime>
  <ScaleCrop>false</ScaleCrop>
  <LinksUpToDate>false</LinksUpToDate>
  <CharactersWithSpaces>1438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2023-08-10T07:28:00Z</dcterms:created>
  <dc:creator>zyp</dc:creator>
  <cp:lastModifiedBy>李艳</cp:lastModifiedBy>
  <dcterms:modified xsi:type="dcterms:W3CDTF">2024-08-08T02:12:25Z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F12476B408474A1689695DB80BDC457E</vt:lpwstr>
  </property>
</Properties>
</file>