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律师事务所考核管理办法</w:t>
      </w:r>
    </w:p>
    <w:p>
      <w:pPr>
        <w:jc w:val="center"/>
        <w:rPr>
          <w:b/>
          <w:bCs/>
          <w:sz w:val="44"/>
          <w:szCs w:val="44"/>
        </w:rPr>
      </w:pPr>
    </w:p>
    <w:p>
      <w:pPr>
        <w:spacing w:line="560" w:lineRule="exact"/>
        <w:ind w:firstLine="548" w:firstLineChars="196"/>
        <w:rPr>
          <w:rFonts w:ascii="黑体" w:eastAsia="黑体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一、总则</w:t>
      </w:r>
    </w:p>
    <w:p>
      <w:pPr>
        <w:spacing w:line="560" w:lineRule="exact"/>
        <w:ind w:firstLine="548" w:firstLineChars="19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常州阳光交易市场是常州产权交易所有限公司（以下简称“产交所”）根据相关文件要求建设运营的常州市国资阳光交易服务平台，为加强常州阳光交易市场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法律业务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合作方的管理，建立健全考核机制，充分调动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的工作积极性，提高工作效能，结合产交所实际情况，制定本办法。</w:t>
      </w:r>
    </w:p>
    <w:p>
      <w:pPr>
        <w:spacing w:line="560" w:lineRule="exact"/>
        <w:ind w:firstLine="548" w:firstLineChars="196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二、考核机构和职责</w:t>
      </w:r>
    </w:p>
    <w:p>
      <w:pPr>
        <w:spacing w:line="56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产交所负责对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及其团队的服务质量、执业情况、职业道德等方面进行评价和考核，评价和考核结果作为是否继续作为常州阳光交易市场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法律业务</w:t>
      </w:r>
      <w:r>
        <w:rPr>
          <w:rFonts w:hint="eastAsia" w:ascii="仿宋_GB2312" w:hAnsi="仿宋_GB2312" w:eastAsia="仿宋_GB2312" w:cs="仿宋_GB2312"/>
          <w:sz w:val="28"/>
          <w:szCs w:val="28"/>
        </w:rPr>
        <w:t>合作方的依据。</w:t>
      </w:r>
    </w:p>
    <w:p>
      <w:pPr>
        <w:numPr>
          <w:ilvl w:val="0"/>
          <w:numId w:val="1"/>
        </w:numPr>
        <w:spacing w:line="560" w:lineRule="exact"/>
        <w:ind w:firstLine="560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考核内容及评分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（一）由委托方或产交所按每次项目结束后对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进行考核，考核总分为</w:t>
      </w:r>
      <w:r>
        <w:rPr>
          <w:rFonts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分。具体考核指标见附表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（二）产交所对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进行年度考核，考核总分为100分，每年12月31日为考核基准日。具体考核指标见附表2 </w:t>
      </w:r>
    </w:p>
    <w:p>
      <w:pPr>
        <w:spacing w:line="560" w:lineRule="exact"/>
        <w:ind w:firstLine="548" w:firstLineChars="196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四、存在以下情形之一的,将予以解除合作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（一）年度考核评定为“不合格”（注：考核评分不足80分为不合格）；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（二）考核期内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受到没收违法所得、责令停业、吊销执照等行政处罚的；</w:t>
      </w:r>
    </w:p>
    <w:p>
      <w:pPr>
        <w:spacing w:line="560" w:lineRule="exact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出具的文书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文件造成委托方损失的；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的行为，产交所被投诉、举报或造成其他不良影响的；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工作人员有贪污、行贿、受贿等违反廉政纪律行为的，利用职务之便为自己或者他人谋取私利的。</w:t>
      </w:r>
    </w:p>
    <w:p>
      <w:pPr>
        <w:spacing w:line="560" w:lineRule="exact"/>
        <w:ind w:firstLine="560" w:firstLineChars="200"/>
        <w:rPr>
          <w:rFonts w:ascii="黑体" w:hAnsi="仿宋_GB2312" w:eastAsia="黑体" w:cs="仿宋_GB2312"/>
          <w:bCs/>
          <w:sz w:val="28"/>
          <w:szCs w:val="28"/>
        </w:rPr>
      </w:pPr>
      <w:r>
        <w:rPr>
          <w:rFonts w:hint="eastAsia" w:ascii="黑体" w:hAnsi="仿宋_GB2312" w:eastAsia="黑体" w:cs="仿宋_GB2312"/>
          <w:bCs/>
          <w:sz w:val="28"/>
          <w:szCs w:val="28"/>
        </w:rPr>
        <w:t>四、说明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（一）本管理办法于产交所与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签订合作协议后开始执行。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（二）合作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及服务团队需遵守《合作协议》、《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考核管理办法》、征集公告等相关约定。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（三）本管理办法仅限产交所内部使用，未规定部分遵从产交所相关规定及现有制度执行。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（四）本管理办法于颁布之日起生效。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附表：1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项目考核表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2.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年度考核表</w:t>
      </w: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常州产权交易所有限公司</w:t>
      </w:r>
    </w:p>
    <w:p>
      <w:pPr>
        <w:spacing w:line="560" w:lineRule="exact"/>
        <w:ind w:firstLine="5320" w:firstLineChars="1900"/>
        <w:rPr>
          <w:rFonts w:hint="eastAsia" w:ascii="黑体" w:hAnsi="仿宋_GB2312" w:eastAsia="仿宋_GB2312" w:cs="仿宋_GB2312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仿宋_GB2312" w:eastAsia="黑体" w:cs="仿宋_GB2312"/>
          <w:b/>
          <w:bCs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表</w:t>
      </w:r>
      <w:r>
        <w:rPr>
          <w:rFonts w:ascii="黑体" w:hAnsi="黑体" w:eastAsia="黑体"/>
          <w:sz w:val="28"/>
          <w:szCs w:val="28"/>
        </w:rPr>
        <w:t>1</w:t>
      </w:r>
    </w:p>
    <w:tbl>
      <w:tblPr>
        <w:tblStyle w:val="7"/>
        <w:tblW w:w="10031" w:type="dxa"/>
        <w:tblInd w:w="-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31"/>
        <w:gridCol w:w="492"/>
        <w:gridCol w:w="1202"/>
        <w:gridCol w:w="2337"/>
        <w:gridCol w:w="709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律师事务所名称：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 标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考核办法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考核结果说明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人员匹配持证上岗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未持证上岗扣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出具文书或文件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错误导致委托方承担民事责任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出现上述情况扣10分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受托项目受到行政处罚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分；罚款扣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职业道德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人员应有相应的职业道德，若出现违反诚信、尽责、公正等情况，扣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保密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人员应对项目及采购单位信息保密，若出现泄密等情况，扣1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出具文书或文件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的准确性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对委托方造成一般损失的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扣5 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造成严重损失的扣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出具文书或文件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的完整性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出具文书或文件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不完整扣1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工作效率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根据每次询价公告确定相应时间，逾期响应或提交工作资料扣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沟通能力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未能与委托方积极配合且进行有效沟通扣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服务态度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服务态度差扣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考核人：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考核日期：      年   月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仿宋_GB2312" w:eastAsia="黑体" w:cs="仿宋_GB2312"/>
          <w:b/>
          <w:bCs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表2</w:t>
      </w:r>
    </w:p>
    <w:tbl>
      <w:tblPr>
        <w:tblStyle w:val="7"/>
        <w:tblW w:w="993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51"/>
        <w:gridCol w:w="1067"/>
        <w:gridCol w:w="1230"/>
        <w:gridCol w:w="464"/>
        <w:gridCol w:w="2371"/>
        <w:gridCol w:w="687"/>
        <w:gridCol w:w="155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年度考核表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考核期间：    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律师事务所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 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考核办法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考核结果说明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因执业过错被司法部门判定承担民事责任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机构受到行政处罚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警告、罚款一次扣5分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机构的执业人员受到行政处罚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警告、罚款一次扣5分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不积极参与询价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每次扣1分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项目平均分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年度内未承接常州阳光交易市场项目的单位此项统一记为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考核人：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132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考核日期：</w:t>
            </w:r>
          </w:p>
        </w:tc>
      </w:tr>
    </w:tbl>
    <w:p>
      <w:pPr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注：考核评分不足80分为不合格。</w:t>
      </w:r>
    </w:p>
    <w:p>
      <w:pPr>
        <w:spacing w:line="560" w:lineRule="exact"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黑体" w:hAnsi="仿宋_GB2312" w:eastAsia="黑体" w:cs="仿宋_GB2312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仿宋_GB2312" w:eastAsia="黑体" w:cs="仿宋_GB2312"/>
          <w:b/>
          <w:bCs/>
          <w:sz w:val="28"/>
          <w:szCs w:val="28"/>
        </w:rPr>
      </w:pPr>
    </w:p>
    <w:p>
      <w:pPr>
        <w:spacing w:line="5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b/>
          <w:bCs/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3816E"/>
    <w:multiLevelType w:val="singleLevel"/>
    <w:tmpl w:val="5FE381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zYzJkMWU0ZDY4YTQ4MGY3NTRjYWU3NGI5MWE4MTQifQ=="/>
  </w:docVars>
  <w:rsids>
    <w:rsidRoot w:val="27C2283C"/>
    <w:rsid w:val="00013B23"/>
    <w:rsid w:val="00017A7B"/>
    <w:rsid w:val="000265FA"/>
    <w:rsid w:val="00035120"/>
    <w:rsid w:val="00060897"/>
    <w:rsid w:val="00063923"/>
    <w:rsid w:val="00074EAB"/>
    <w:rsid w:val="00091F94"/>
    <w:rsid w:val="000B5ED2"/>
    <w:rsid w:val="000D4D2A"/>
    <w:rsid w:val="0013031C"/>
    <w:rsid w:val="00132A1A"/>
    <w:rsid w:val="00146B96"/>
    <w:rsid w:val="001648D3"/>
    <w:rsid w:val="001740DD"/>
    <w:rsid w:val="001B2A5F"/>
    <w:rsid w:val="001B6FD3"/>
    <w:rsid w:val="001F038C"/>
    <w:rsid w:val="001F07FB"/>
    <w:rsid w:val="00237644"/>
    <w:rsid w:val="0024322B"/>
    <w:rsid w:val="00246CC1"/>
    <w:rsid w:val="00294555"/>
    <w:rsid w:val="002A3E72"/>
    <w:rsid w:val="002B2AA1"/>
    <w:rsid w:val="002B6803"/>
    <w:rsid w:val="002E28CF"/>
    <w:rsid w:val="003155E1"/>
    <w:rsid w:val="0033091C"/>
    <w:rsid w:val="003371FA"/>
    <w:rsid w:val="00350812"/>
    <w:rsid w:val="003658F6"/>
    <w:rsid w:val="00392595"/>
    <w:rsid w:val="00394586"/>
    <w:rsid w:val="003C2130"/>
    <w:rsid w:val="003D5BD3"/>
    <w:rsid w:val="003E058E"/>
    <w:rsid w:val="0043274A"/>
    <w:rsid w:val="00444BA6"/>
    <w:rsid w:val="00447EA7"/>
    <w:rsid w:val="00452641"/>
    <w:rsid w:val="004567F8"/>
    <w:rsid w:val="004748A0"/>
    <w:rsid w:val="004C1A44"/>
    <w:rsid w:val="004C4945"/>
    <w:rsid w:val="00500120"/>
    <w:rsid w:val="00521D4F"/>
    <w:rsid w:val="00527B8E"/>
    <w:rsid w:val="0054106E"/>
    <w:rsid w:val="0055403A"/>
    <w:rsid w:val="00557A0D"/>
    <w:rsid w:val="0056763B"/>
    <w:rsid w:val="00591A43"/>
    <w:rsid w:val="005A5CBC"/>
    <w:rsid w:val="005C263B"/>
    <w:rsid w:val="005D45E7"/>
    <w:rsid w:val="00644CEC"/>
    <w:rsid w:val="006A1464"/>
    <w:rsid w:val="006D4DBF"/>
    <w:rsid w:val="006E1A3C"/>
    <w:rsid w:val="006F4A0A"/>
    <w:rsid w:val="0072577C"/>
    <w:rsid w:val="00736391"/>
    <w:rsid w:val="0076161C"/>
    <w:rsid w:val="007703FE"/>
    <w:rsid w:val="0078792F"/>
    <w:rsid w:val="007A71D7"/>
    <w:rsid w:val="007D4373"/>
    <w:rsid w:val="00851530"/>
    <w:rsid w:val="008D1AC9"/>
    <w:rsid w:val="008D601C"/>
    <w:rsid w:val="008E1EAA"/>
    <w:rsid w:val="0091750C"/>
    <w:rsid w:val="00923E08"/>
    <w:rsid w:val="00927245"/>
    <w:rsid w:val="00934801"/>
    <w:rsid w:val="00937BAC"/>
    <w:rsid w:val="00943578"/>
    <w:rsid w:val="009704E3"/>
    <w:rsid w:val="00986CCD"/>
    <w:rsid w:val="009953C0"/>
    <w:rsid w:val="009E02E2"/>
    <w:rsid w:val="009E3A2B"/>
    <w:rsid w:val="009F20BF"/>
    <w:rsid w:val="00A16FF3"/>
    <w:rsid w:val="00A30C2D"/>
    <w:rsid w:val="00A408D1"/>
    <w:rsid w:val="00A73FBA"/>
    <w:rsid w:val="00A816F3"/>
    <w:rsid w:val="00A91640"/>
    <w:rsid w:val="00A9617C"/>
    <w:rsid w:val="00AB437F"/>
    <w:rsid w:val="00B10834"/>
    <w:rsid w:val="00B21A04"/>
    <w:rsid w:val="00B74BF9"/>
    <w:rsid w:val="00BA2657"/>
    <w:rsid w:val="00BB4277"/>
    <w:rsid w:val="00BB5448"/>
    <w:rsid w:val="00BE0CF4"/>
    <w:rsid w:val="00BE4997"/>
    <w:rsid w:val="00C00EE2"/>
    <w:rsid w:val="00C85500"/>
    <w:rsid w:val="00C918EB"/>
    <w:rsid w:val="00CA1C61"/>
    <w:rsid w:val="00CB1648"/>
    <w:rsid w:val="00CD2301"/>
    <w:rsid w:val="00CE01D4"/>
    <w:rsid w:val="00D07996"/>
    <w:rsid w:val="00D91A0C"/>
    <w:rsid w:val="00D92196"/>
    <w:rsid w:val="00D95281"/>
    <w:rsid w:val="00DC51A1"/>
    <w:rsid w:val="00DF4493"/>
    <w:rsid w:val="00DF660B"/>
    <w:rsid w:val="00E0678E"/>
    <w:rsid w:val="00E07AAB"/>
    <w:rsid w:val="00E111AD"/>
    <w:rsid w:val="00E26556"/>
    <w:rsid w:val="00E3530E"/>
    <w:rsid w:val="00E36959"/>
    <w:rsid w:val="00E37B77"/>
    <w:rsid w:val="00E5282E"/>
    <w:rsid w:val="00E559A0"/>
    <w:rsid w:val="00E64BD5"/>
    <w:rsid w:val="00E71E4E"/>
    <w:rsid w:val="00E81466"/>
    <w:rsid w:val="00E95AFA"/>
    <w:rsid w:val="00E971A4"/>
    <w:rsid w:val="00EB6505"/>
    <w:rsid w:val="00EC273A"/>
    <w:rsid w:val="00EE6809"/>
    <w:rsid w:val="00F15D53"/>
    <w:rsid w:val="00F576FA"/>
    <w:rsid w:val="00F757F2"/>
    <w:rsid w:val="00F851F5"/>
    <w:rsid w:val="00F956FE"/>
    <w:rsid w:val="00F97BD5"/>
    <w:rsid w:val="00FB7A2B"/>
    <w:rsid w:val="00FC3232"/>
    <w:rsid w:val="00FD7CB1"/>
    <w:rsid w:val="00FF552B"/>
    <w:rsid w:val="0B963F94"/>
    <w:rsid w:val="191A19D9"/>
    <w:rsid w:val="1C13267E"/>
    <w:rsid w:val="1C314832"/>
    <w:rsid w:val="22387C3D"/>
    <w:rsid w:val="237C4B6D"/>
    <w:rsid w:val="257F12BC"/>
    <w:rsid w:val="26626AF6"/>
    <w:rsid w:val="27C2283C"/>
    <w:rsid w:val="2DB81CB7"/>
    <w:rsid w:val="2EF369A2"/>
    <w:rsid w:val="359B4ACD"/>
    <w:rsid w:val="3751760B"/>
    <w:rsid w:val="3C51161D"/>
    <w:rsid w:val="3DC76E57"/>
    <w:rsid w:val="3DCE0D29"/>
    <w:rsid w:val="3F116320"/>
    <w:rsid w:val="3F556316"/>
    <w:rsid w:val="3F705A14"/>
    <w:rsid w:val="44026CFF"/>
    <w:rsid w:val="450D7977"/>
    <w:rsid w:val="534C5F9D"/>
    <w:rsid w:val="57D613CF"/>
    <w:rsid w:val="5D817478"/>
    <w:rsid w:val="64472432"/>
    <w:rsid w:val="77C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4</Pages>
  <Words>1311</Words>
  <Characters>1350</Characters>
  <Lines>11</Lines>
  <Paragraphs>3</Paragraphs>
  <TotalTime>6</TotalTime>
  <ScaleCrop>false</ScaleCrop>
  <LinksUpToDate>false</LinksUpToDate>
  <CharactersWithSpaces>1403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2019-09-07T01:21:00Z</dcterms:created>
  <dc:creator>zyp</dc:creator>
  <cp:lastModifiedBy>李艳</cp:lastModifiedBy>
  <dcterms:modified xsi:type="dcterms:W3CDTF">2024-08-08T02:25:19Z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F12476B408474A1689695DB80BDC457E</vt:lpwstr>
  </property>
</Properties>
</file>