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 w:val="0"/>
          <w:iCs w:val="0"/>
          <w:caps w:val="0"/>
          <w:color w:val="333333"/>
          <w:spacing w:val="0"/>
          <w:sz w:val="27"/>
          <w:szCs w:val="27"/>
          <w:shd w:val="clear" w:fill="FFFFFF"/>
        </w:rPr>
      </w:pPr>
      <w:r>
        <w:rPr>
          <w:rFonts w:hint="eastAsia" w:ascii="仿宋_GB2312" w:hAnsi="微软雅黑" w:eastAsia="仿宋_GB2312"/>
          <w:bCs/>
          <w:color w:val="333333"/>
          <w:sz w:val="32"/>
          <w:szCs w:val="32"/>
          <w:lang w:val="en"/>
        </w:rPr>
        <w:t>附件</w:t>
      </w:r>
      <w:r>
        <w:rPr>
          <w:rFonts w:ascii="仿宋_GB2312" w:hAnsi="微软雅黑" w:eastAsia="仿宋_GB2312"/>
          <w:bCs/>
          <w:color w:val="333333"/>
          <w:sz w:val="32"/>
          <w:szCs w:val="32"/>
          <w:lang w:val="en"/>
        </w:rPr>
        <w:t>2</w:t>
      </w:r>
      <w:r>
        <w:rPr>
          <w:rFonts w:hint="eastAsia" w:ascii="仿宋_GB2312" w:hAnsi="微软雅黑" w:eastAsia="仿宋_GB2312"/>
          <w:bCs/>
          <w:color w:val="333333"/>
          <w:sz w:val="32"/>
          <w:szCs w:val="32"/>
          <w:lang w:val="en"/>
        </w:rPr>
        <w:t>《常州阳光交易市场公告统一发布指引》（</w:t>
      </w:r>
      <w:r>
        <w:rPr>
          <w:rFonts w:ascii="仿宋_GB2312" w:hAnsi="微软雅黑" w:eastAsia="仿宋_GB2312"/>
          <w:bCs/>
          <w:color w:val="333333"/>
          <w:sz w:val="32"/>
          <w:szCs w:val="32"/>
          <w:lang w:val="en"/>
        </w:rPr>
        <w:t>2022年</w:t>
      </w:r>
      <w:r>
        <w:rPr>
          <w:rFonts w:hint="eastAsia" w:ascii="仿宋_GB2312" w:hAnsi="微软雅黑" w:eastAsia="仿宋_GB2312"/>
          <w:bCs/>
          <w:color w:val="333333"/>
          <w:sz w:val="32"/>
          <w:szCs w:val="32"/>
          <w:lang w:val="en-US" w:eastAsia="zh-CN"/>
        </w:rPr>
        <w:t>5</w:t>
      </w:r>
      <w:r>
        <w:rPr>
          <w:rFonts w:ascii="仿宋_GB2312" w:hAnsi="微软雅黑" w:eastAsia="仿宋_GB2312"/>
          <w:bCs/>
          <w:color w:val="333333"/>
          <w:sz w:val="32"/>
          <w:szCs w:val="32"/>
          <w:lang w:val="en"/>
        </w:rPr>
        <w:t>月</w:t>
      </w:r>
      <w:r>
        <w:rPr>
          <w:rFonts w:hint="eastAsia" w:ascii="仿宋_GB2312" w:hAnsi="微软雅黑" w:eastAsia="仿宋_GB2312"/>
          <w:bCs/>
          <w:color w:val="333333"/>
          <w:sz w:val="32"/>
          <w:szCs w:val="32"/>
          <w:lang w:val="en-US" w:eastAsia="zh-CN"/>
        </w:rPr>
        <w:t>13</w:t>
      </w:r>
      <w:bookmarkStart w:id="0" w:name="_GoBack"/>
      <w:bookmarkEnd w:id="0"/>
      <w:r>
        <w:rPr>
          <w:rFonts w:ascii="仿宋_GB2312" w:hAnsi="微软雅黑" w:eastAsia="仿宋_GB2312"/>
          <w:bCs/>
          <w:color w:val="333333"/>
          <w:sz w:val="32"/>
          <w:szCs w:val="32"/>
          <w:lang w:val="en"/>
        </w:rPr>
        <w:t>日发布版本）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7"/>
          <w:szCs w:val="27"/>
        </w:rPr>
      </w:pPr>
      <w:r>
        <w:rPr>
          <w:i w:val="0"/>
          <w:iCs w:val="0"/>
          <w:caps w:val="0"/>
          <w:color w:val="333333"/>
          <w:spacing w:val="0"/>
          <w:sz w:val="27"/>
          <w:szCs w:val="27"/>
          <w:shd w:val="clear" w:fill="FFFFFF"/>
        </w:rPr>
        <w:t>常州阳光交易市场公告统一发布指引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b/>
          <w:bCs/>
          <w:i w:val="0"/>
          <w:iCs w:val="0"/>
          <w:caps w:val="0"/>
          <w:color w:val="333333"/>
          <w:spacing w:val="0"/>
          <w:kern w:val="0"/>
          <w:sz w:val="32"/>
          <w:szCs w:val="32"/>
          <w:shd w:val="clear" w:fill="FFFFFF"/>
          <w:lang w:val="en-US" w:eastAsia="zh-CN" w:bidi="ar"/>
        </w:rPr>
        <w:t>第一部分 产权交易类项目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一、亮点标签填写指引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仿宋_GB2312" w:hAnsi="微软雅黑" w:eastAsia="仿宋_GB2312" w:cs="仿宋_GB2312"/>
          <w:i w:val="0"/>
          <w:iCs w:val="0"/>
          <w:caps w:val="0"/>
          <w:color w:val="333333"/>
          <w:spacing w:val="0"/>
          <w:kern w:val="0"/>
          <w:sz w:val="32"/>
          <w:szCs w:val="32"/>
          <w:shd w:val="clear" w:fill="FFFFFF"/>
          <w:lang w:val="en-US" w:eastAsia="zh-CN" w:bidi="ar"/>
        </w:rPr>
        <w:t>公告发布方在后台可最多选择3个亮点标签在标的详情页呈现，如需新增标签，公告发布方后台管理员可进行添加配置。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二、地图坐标上传指引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标的地图坐标建议填写，公告发布方可通过在百度地图中直接标注位置或通过模糊搜索查找定位。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三、照片发布指引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标的照片拍摄与上传指引如下：</w:t>
      </w:r>
    </w:p>
    <w:tbl>
      <w:tblPr>
        <w:tblStyle w:val="3"/>
        <w:tblW w:w="83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4"/>
        <w:gridCol w:w="1121"/>
        <w:gridCol w:w="1419"/>
        <w:gridCol w:w="852"/>
        <w:gridCol w:w="1420"/>
        <w:gridCol w:w="852"/>
        <w:gridCol w:w="9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业务类型</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照片指引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房产转让、房产招租</w:t>
            </w: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2"/>
                <w:szCs w:val="22"/>
                <w:lang w:val="en-US" w:eastAsia="zh-CN" w:bidi="ar"/>
              </w:rPr>
              <w:t>标的类型</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2"/>
                <w:szCs w:val="22"/>
                <w:lang w:val="en-US" w:eastAsia="zh-CN" w:bidi="ar"/>
              </w:rPr>
              <w:t>总体数量</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2"/>
                <w:szCs w:val="22"/>
                <w:lang w:val="en-US" w:eastAsia="zh-CN" w:bidi="ar"/>
              </w:rPr>
              <w:t>房屋外观</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2"/>
                <w:szCs w:val="22"/>
                <w:lang w:val="en-US" w:eastAsia="zh-CN" w:bidi="ar"/>
              </w:rPr>
              <w:t>室内</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2"/>
                <w:szCs w:val="22"/>
                <w:lang w:val="en-US" w:eastAsia="zh-CN" w:bidi="ar"/>
              </w:rPr>
              <w:t>周边环境</w:t>
            </w:r>
          </w:p>
        </w:tc>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2"/>
                <w:szCs w:val="22"/>
                <w:lang w:val="en-US" w:eastAsia="zh-CN" w:bidi="ar"/>
              </w:rPr>
              <w:t>户型图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333333"/>
                <w:kern w:val="0"/>
                <w:sz w:val="22"/>
                <w:szCs w:val="22"/>
                <w:lang w:val="en-US" w:eastAsia="zh-CN" w:bidi="ar"/>
              </w:rPr>
              <w:t>住宅</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不少于7张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不少于4张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333333"/>
                <w:kern w:val="0"/>
                <w:sz w:val="22"/>
                <w:szCs w:val="22"/>
                <w:lang w:val="en-US" w:eastAsia="zh-CN" w:bidi="ar"/>
              </w:rPr>
              <w:t>商铺</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不少于3张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1张</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不少于1张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333333"/>
                <w:kern w:val="0"/>
                <w:sz w:val="22"/>
                <w:szCs w:val="22"/>
                <w:lang w:val="en-US" w:eastAsia="zh-CN" w:bidi="ar"/>
              </w:rPr>
              <w:t>办公用房</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不少于4张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1张</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不少于2张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333333"/>
                <w:kern w:val="0"/>
                <w:sz w:val="22"/>
                <w:szCs w:val="22"/>
                <w:lang w:val="en-US" w:eastAsia="zh-CN" w:bidi="ar"/>
              </w:rPr>
              <w:t>厂房</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不少于4张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不少于2张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333333"/>
                <w:kern w:val="0"/>
                <w:sz w:val="22"/>
                <w:szCs w:val="22"/>
                <w:lang w:val="en-US" w:eastAsia="zh-CN" w:bidi="ar"/>
              </w:rPr>
              <w:t>其他</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不少于3张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14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8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2"/>
                <w:szCs w:val="22"/>
                <w:lang w:val="en-US" w:eastAsia="zh-CN" w:bidi="ar"/>
              </w:rPr>
              <w:t>1-2张</w:t>
            </w:r>
          </w:p>
        </w:tc>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二手车</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不少于7张：可包括左前方、正前方、正后方、侧方、内饰（座椅、操控区）、引擎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二手设备、废旧物资</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不少于3张：可包括铭牌、品牌、堆放情况、重点设备的整体图片、核心部件图片等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股权、增资扩股</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不少于1张：可包括标的企业实景图、企业logo图、企业宣传图（简介）、标的企业的产品图（如有）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债权</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不少于1张：可包括抵押资产（房产、土地、车辆、股权证等）、担保合同（首页）等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工美藏品</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不少于3张：可包括标的物图片、鉴定证书、作者照片及简介等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粮食</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不少于3张：可包括储存仓库全景图、堆放近景图等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林权、土地</w:t>
            </w:r>
          </w:p>
        </w:tc>
        <w:tc>
          <w:tcPr>
            <w:tcW w:w="6630"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不少于3张：可包括航拍图、卫星图、主要树种图（如有）等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b/>
                <w:bCs/>
                <w:kern w:val="0"/>
                <w:sz w:val="28"/>
                <w:szCs w:val="28"/>
                <w:lang w:val="en-US" w:eastAsia="zh-CN" w:bidi="ar"/>
              </w:rPr>
              <w:t>其他提示：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1.照片尺寸：800*600，大小：500KB以内；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2.照片需清晰，拍摄光线适宜，拍摄角度可将标的物充分呈现；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3.除照片外，建议增加360°全景、视频、语音等多元化方式呈现。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4.以上业务类型项目的照片顺序原则上与上述照片指引描述顺序一致。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四、公告模板填报指引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ascii="楷体_GB2312" w:hAnsi="微软雅黑" w:eastAsia="楷体_GB2312" w:cs="楷体_GB2312"/>
          <w:i w:val="0"/>
          <w:iCs w:val="0"/>
          <w:caps w:val="0"/>
          <w:color w:val="333333"/>
          <w:spacing w:val="0"/>
          <w:kern w:val="0"/>
          <w:sz w:val="32"/>
          <w:szCs w:val="32"/>
          <w:shd w:val="clear" w:fill="FFFFFF"/>
          <w:lang w:val="en-US" w:eastAsia="zh-CN" w:bidi="ar"/>
        </w:rPr>
        <w:t>（一）公告标题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公告模板中公告标题可按如下格式填写：</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27"/>
        <w:gridCol w:w="6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业务类型</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bCs/>
                <w:kern w:val="0"/>
                <w:sz w:val="28"/>
                <w:szCs w:val="28"/>
                <w:lang w:val="en-US" w:eastAsia="zh-CN" w:bidi="ar"/>
              </w:rPr>
              <w:t>公告标题格式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房产转让</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1.住宅：XX市XX区XX路/小区XX号XX室房产转让公告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2.厂房：XX市XX区XX路XX号厂房转让公告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3.办公：XX市XX区XX路XX号办公楼/办公用房转让公告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4.酒店：XX市XX区XX路XX号酒店转让公告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5.商铺：XX市XX区XX路XX号商铺转让公告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6.车库：XX市XX区XX路XX号车库/车位转让公告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房产招租</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1.住宅：XX市XX区XX路/小区XX号XX室房产招租公告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2.厂房：XX市XX区XX路XX号厂房招租公告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3.办公：XX市XX区XX路XX号办公楼/办公用房招租公告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4.酒店：XX市XX区XX路XX号酒店招租公告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5.商铺：XX市XX区XX路XX号商铺招租公告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6.车库：XX市XX区XX路XX号车库/车位招租公告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二手设备/废旧物资</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XX（标的）等一批（台）废旧资产（二手设备）转让公告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二手车</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（苏D**）车辆品牌系列+排气量+车辆类型转让公告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粮食</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XX市XX库XX仓-XX XX吨XX粮食品种（小麦、稻谷等）转让公告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股权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1．******有限公司**%股权（对应***出资额）转让公告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2．******股份公司**股股份（占**%）转让公告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3．******合伙企业**份额转让公告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增资扩股</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******有限公司（股份公司）增资公告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债权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债权人名称+债务人名称+债权数量+债权类型转让公告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工美藏品</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参考格式：作者+年代+类别+尺寸转让公告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林权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位置+面积+权益类型转让公告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kern w:val="0"/>
                <w:sz w:val="28"/>
                <w:szCs w:val="28"/>
                <w:lang w:val="en-US" w:eastAsia="zh-CN" w:bidi="ar"/>
              </w:rPr>
              <w:t>土地经营权</w:t>
            </w:r>
          </w:p>
        </w:tc>
        <w:tc>
          <w:tcPr>
            <w:tcW w:w="673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_GB2312" w:eastAsia="仿宋_GB2312" w:cs="仿宋_GB2312" w:hAnsiTheme="minorHAnsi"/>
                <w:kern w:val="0"/>
                <w:sz w:val="28"/>
                <w:szCs w:val="28"/>
                <w:lang w:val="en-US" w:eastAsia="zh-CN" w:bidi="ar"/>
              </w:rPr>
              <w:t>位置+面积+土地性质/权益类型转让公告</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楷体_GB2312" w:hAnsi="微软雅黑" w:eastAsia="楷体_GB2312" w:cs="楷体_GB2312"/>
          <w:i w:val="0"/>
          <w:iCs w:val="0"/>
          <w:caps w:val="0"/>
          <w:color w:val="333333"/>
          <w:spacing w:val="0"/>
          <w:kern w:val="0"/>
          <w:sz w:val="32"/>
          <w:szCs w:val="32"/>
          <w:shd w:val="clear" w:fill="FFFFFF"/>
          <w:lang w:val="en-US" w:eastAsia="zh-CN" w:bidi="ar"/>
        </w:rPr>
        <w:t>（二）公告必填字段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公告呈现模板中的红色字为必填字段（详见下方各类型公告样式），也是30秒视觉区的组成部分，系统将自动抓取必填字段呈现在30秒视觉区。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公告发布方进行表单字段的录入，并选择统一模板后，系统将自动生成公告样式在前端网页呈现。各类公告范本详见附件。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333333"/>
          <w:spacing w:val="0"/>
          <w:kern w:val="0"/>
          <w:sz w:val="32"/>
          <w:szCs w:val="32"/>
          <w:shd w:val="clear" w:fill="FFFFFF"/>
          <w:lang w:val="en-US" w:eastAsia="zh-CN" w:bidi="ar"/>
        </w:rPr>
        <w:t>第二部分 招标采购类项目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一、非政府采购项目——远程方式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各类公告、文件范本详见附件。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二、非政府采购项目——半线上方式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各类公告、文件范本详见附件。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pPr>
      <w:r>
        <w:rPr>
          <w:rFonts w:hint="eastAsia" w:ascii="黑体" w:hAnsi="宋体" w:eastAsia="黑体" w:cs="黑体"/>
          <w:b/>
          <w:bCs/>
          <w:i w:val="0"/>
          <w:iCs w:val="0"/>
          <w:caps w:val="0"/>
          <w:color w:val="333333"/>
          <w:spacing w:val="0"/>
          <w:kern w:val="0"/>
          <w:sz w:val="32"/>
          <w:szCs w:val="32"/>
          <w:shd w:val="clear" w:fill="FFFFFF"/>
          <w:lang w:val="en-US" w:eastAsia="zh-CN" w:bidi="ar"/>
        </w:rPr>
        <w:t>三、政府采购项目——半线上方式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按《政府采购公告和公示信息格式规范（2020年版）》执行。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Style w:val="5"/>
          <w:rFonts w:hint="eastAsia" w:ascii="仿宋_GB2312" w:hAnsi="微软雅黑" w:eastAsia="仿宋_GB2312" w:cs="仿宋_GB2312"/>
          <w:b/>
          <w:bCs/>
          <w:i w:val="0"/>
          <w:iCs w:val="0"/>
          <w:caps w:val="0"/>
          <w:color w:val="333333"/>
          <w:spacing w:val="0"/>
          <w:kern w:val="0"/>
          <w:sz w:val="24"/>
          <w:szCs w:val="24"/>
          <w:shd w:val="clear" w:fill="FFFFFF"/>
          <w:lang w:val="en-US" w:eastAsia="zh-CN" w:bidi="ar"/>
        </w:rPr>
        <w:t>附件：各类公告模板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"http://www.czcq.com.cn/czcq/upload/ueditor/file/20220513/20220513140411_319.docx"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产权交易-委托交易-房产转让公告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"http://www.czcq.com.cn/czcq/upload/ueditor/file/20220513/20220513140453_26.docx"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产权交易-委托交易-二手设备（废旧物资）转让公告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"http://www.czcq.com.cn/czcq/upload/ueditor/file/20220513/20220513140508_142.docx"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产权交易-委托交易-房产招租公告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"http://www.czcq.com.cn/czcq/upload/ueditor/file/20220513/20220513140517_960.docx"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产权交易-委托交易-二手车转让公告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"http://www.czcq.com.cn/czcq/upload/ueditor/file/20220516/20220516203936_887.docx"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产权交易-委托交易-股权转让公告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"http://www.czcq.com.cn/czcq/upload/ueditor/file/20220516/20220516204008_405.docx"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产权交易-委托交易-增资扩股交易公告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"http://www.czcq.com.cn/czcq/upload/ueditor/file/20220513/20220513140530_223.docx"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.产权交易-委托交易-债权转让公告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"http://www.czcq.com.cn/czcq/upload/ueditor/file/20220513/20220513140540_732.docx"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产权交易-自主交易-二手车转让公告（定价）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9.</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"http://www.czcq.com.cn/czcq/upload/ueditor/file/20220513/20220513140550_685.docx"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产权交易-自主交易-二手车转让公告（竞价）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10.</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"http://www.czcq.com.cn/czcq/upload/ueditor/file/20220513/20220513140605_118.docx"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产权交易-自主交易-二手车转让公告（询价）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"http://www.czcq.com.cn/czcq/upload/ueditor/file/20220513/20220513140615_766.docx"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产权交易-自主交易-房产转让公告（询价）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"http://www.czcq.com.cn/czcq/upload/ueditor/file/20220513/20220513140625_966.docx"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产权交易-自主交易-房产转让公告（定价）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"http://www.czcq.com.cn/czcq/upload/ueditor/file/20220513/20220513140636_805.docx"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产权交易-自主交易-房产转让公告（竞价）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"http://www.czcq.com.cn/czcq/upload/ueditor/file/20220513/20220513140656_301.docx"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产权交易-自主交易-工程机械转让公告（定价）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"http://www.czcq.com.cn/czcq/upload/ueditor/file/20220513/20220513140709_494.docx"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产权交易-自主交易-工程机械转让公告（竞价）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"http://www.czcq.com.cn/czcq/upload/ueditor/file/20220513/20220513140722_379.docx"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产权交易-自主交易-工程机械转让公告（询价）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"http://www.czcq.com.cn/czcq/upload/ueditor/file/20220513/20220513140734_467.docx"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产权交易-自主交易-林木-地上林产品转让公告（竞价）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"http://www.czcq.com.cn/czcq/upload/ueditor/file/20220513/20220513140747_497.docx"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产权交易-自主交易-林木-活力木转让公告（竞价）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19.</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"http://www.czcq.com.cn/czcq/upload/ueditor/file/20220513/20220513140759_103.docx"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产权交易-自主交易-林木-林地承包经营权转让公告（竞价）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20.</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"http://www.czcq.com.cn/czcq/upload/ueditor/file/20220513/20220513140812_301.docx"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产权交易-自主交易-林木转让公告（竞价）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"http://www.czcq.com.cn/czcq/upload/ueditor/file/20220513/20220513140822_772.docx"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产权交易-自主交易-林木-其他林产品转让公告（竞价）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"http://www.czcq.com.cn/czcq/upload/ueditor/file/20220513/20220513140913_901.docx"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产权交易-自主交易-林木-原木转让公告（竞价）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"http://www.czcq.com.cn/czcq/upload/ueditor/file/20220513/20220513140923_588.docx"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产权交易-自主交易-闲置资产转让公告（定价）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"http://www.czcq.com.cn/czcq/upload/ueditor/file/20220513/20220513140933_473.docx"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产权交易-自主交易-闲置资产转让公告（竞价）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"http://www.czcq.com.cn/czcq/upload/ueditor/file/20220513/20220513140951_5.docx"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产权交易-自主交易-闲置资产转让公告（询价）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"http://www.czcq.com.cn/czcq/upload/ueditor/file/20220513/20220513141002_188.docx"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产权交易-自主交易-债权转让公告（竞价）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"http://www.czcq.com.cn/czcq/upload/ueditor/file/20220513/20220513141011_502.docx"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产权交易-自主交易-资产招租公告（竞价）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"http://www.czcq.com.cn/czcq/upload/ueditor/file/20220516/20220516205122_691.docx"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产权交易-自主交易-资产招租公告（定价）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29.</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"http://www.czcq.com.cn/czcq/upload/ueditor/file/20220516/20220516205135_490.docx"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产权交易-自主交易-资产招租公告（询价）</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30.</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"http://www.czcq.com.cn/czcq/upload/ueditor/file/20220513/20220513141025_886.docx"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招标采购-非政府采购项目-远程方式-招标公告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31.</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"http://www.czcq.com.cn/czcq/upload/ueditor/file/20220513/20220513141037_570.docx"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招标采购-非政府采购项目-远程方式-投标邀请书</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32.</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"http://www.czcq.com.cn/czcq/upload/ueditor/file/20220513/20220513141048_615.docx"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招标采购-非政府采购项目-远程方式-竞争性磋商公告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33.</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"http://www.czcq.com.cn/czcq/upload/ueditor/file/20220513/20220513141058_797.docx"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招标采购-非政府采购项目-远程方式-竞争性谈判公告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34.</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"http://www.czcq.com.cn/czcq/upload/ueditor/file/20220513/20220513141108_965.docx"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招标采购-非政府采购项目-半线上方式-招标公告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35.</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"http://www.czcq.com.cn/czcq/upload/ueditor/file/20220513/20220513141119_767.docx"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招标采购-非政府采购项目-半线上方式-投标邀请书</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36.</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"http://www.czcq.com.cn/czcq/upload/ueditor/file/20220513/20220513141129_347.docx"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招标采购-非政府采购项目-半线上方式-竞争性磋商公告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37.</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"http://www.czcq.com.cn/czcq/upload/ueditor/file/20220513/20220513141139_518.docx"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招标采购-非政府采购项目-半线上方式-单一来源采购公示</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pPr>
      <w:r>
        <w:rPr>
          <w:rFonts w:hint="eastAsia" w:ascii="仿宋_GB2312" w:hAnsi="微软雅黑" w:eastAsia="仿宋_GB2312" w:cs="仿宋_GB2312"/>
          <w:i w:val="0"/>
          <w:iCs w:val="0"/>
          <w:caps w:val="0"/>
          <w:color w:val="333333"/>
          <w:spacing w:val="0"/>
          <w:kern w:val="0"/>
          <w:sz w:val="24"/>
          <w:szCs w:val="24"/>
          <w:shd w:val="clear" w:fill="FFFFFF"/>
          <w:lang w:val="en-US" w:eastAsia="zh-CN" w:bidi="ar"/>
        </w:rPr>
        <w:t>38.</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begin"/>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instrText xml:space="preserve"> HYPERLINK "http://www.czcq.com.cn/czcq/upload/ueditor/file/20220513/20220513141149_497.docx" \t "http://www.czcq.com.cn/czcq//news/_blank" </w:instrTex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separate"/>
      </w:r>
      <w:r>
        <w:rPr>
          <w:rStyle w:val="6"/>
          <w:rFonts w:hint="eastAsia" w:ascii="仿宋_GB2312" w:hAnsi="微软雅黑" w:eastAsia="仿宋_GB2312" w:cs="仿宋_GB2312"/>
          <w:i w:val="0"/>
          <w:iCs w:val="0"/>
          <w:caps w:val="0"/>
          <w:color w:val="333333"/>
          <w:spacing w:val="0"/>
          <w:sz w:val="24"/>
          <w:szCs w:val="24"/>
          <w:u w:val="none"/>
          <w:shd w:val="clear" w:fill="FFFFFF"/>
        </w:rPr>
        <w:t>招标采购-非政府采购项目-半线上方式-询价公告</w:t>
      </w:r>
      <w:r>
        <w:rPr>
          <w:rFonts w:hint="eastAsia" w:ascii="仿宋_GB2312" w:hAnsi="微软雅黑" w:eastAsia="仿宋_GB2312" w:cs="仿宋_GB2312"/>
          <w:i w:val="0"/>
          <w:iCs w:val="0"/>
          <w:caps w:val="0"/>
          <w:color w:val="333333"/>
          <w:spacing w:val="0"/>
          <w:kern w:val="0"/>
          <w:sz w:val="24"/>
          <w:szCs w:val="24"/>
          <w:u w:val="none"/>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YTNjMmJlNGU2YmJkMTg0YTQ1NzQyMTU2YWM3MTAifQ=="/>
  </w:docVars>
  <w:rsids>
    <w:rsidRoot w:val="00000000"/>
    <w:rsid w:val="5C706F7B"/>
    <w:rsid w:val="6E3B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2024-12-25T07:08:00Z</dcterms:created>
  <dc:creator>lenovo</dc:creator>
  <cp:lastModifiedBy>郁逾</cp:lastModifiedBy>
  <dcterms:modified xsi:type="dcterms:W3CDTF">2024-12-25T07:20:11Z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A1C630F8CD8D47EA8FEB42CDA35A6FFA_12</vt:lpwstr>
  </property>
</Properties>
</file>